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tblpY="675"/>
        <w:tblW w:w="9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0"/>
        <w:gridCol w:w="1530"/>
        <w:gridCol w:w="1530"/>
        <w:gridCol w:w="1530"/>
        <w:gridCol w:w="4291"/>
      </w:tblGrid>
      <w:tr w:rsidR="00415547" w:rsidRPr="00B05E0B" w:rsidTr="006C1396">
        <w:tc>
          <w:tcPr>
            <w:tcW w:w="790" w:type="dxa"/>
            <w:shd w:val="clear" w:color="auto" w:fill="auto"/>
            <w:tcMar>
              <w:top w:w="100" w:type="dxa"/>
              <w:left w:w="100" w:type="dxa"/>
              <w:bottom w:w="100" w:type="dxa"/>
              <w:right w:w="100" w:type="dxa"/>
            </w:tcMar>
          </w:tcPr>
          <w:p w:rsidR="00415547" w:rsidRDefault="00415547" w:rsidP="006C1396">
            <w:pPr>
              <w:widowControl w:val="0"/>
              <w:spacing w:line="240" w:lineRule="auto"/>
              <w:contextualSpacing w:val="0"/>
              <w:rPr>
                <w:sz w:val="20"/>
                <w:szCs w:val="20"/>
                <w:lang w:val="es-CO"/>
              </w:rPr>
            </w:pPr>
          </w:p>
          <w:p w:rsidR="00415547" w:rsidRDefault="00415547" w:rsidP="006C1396">
            <w:pPr>
              <w:widowControl w:val="0"/>
              <w:spacing w:line="240" w:lineRule="auto"/>
              <w:contextualSpacing w:val="0"/>
              <w:rPr>
                <w:sz w:val="20"/>
                <w:szCs w:val="20"/>
                <w:lang w:val="es-CO"/>
              </w:rPr>
            </w:pPr>
          </w:p>
          <w:p w:rsidR="00415547" w:rsidRPr="00B05E0B" w:rsidRDefault="00415547" w:rsidP="006C1396">
            <w:pPr>
              <w:widowControl w:val="0"/>
              <w:spacing w:line="240" w:lineRule="auto"/>
              <w:contextualSpacing w:val="0"/>
              <w:rPr>
                <w:sz w:val="20"/>
                <w:szCs w:val="20"/>
                <w:lang w:val="es-CO"/>
              </w:rPr>
            </w:pPr>
          </w:p>
        </w:tc>
        <w:tc>
          <w:tcPr>
            <w:tcW w:w="1530" w:type="dxa"/>
            <w:shd w:val="clear" w:color="auto" w:fill="auto"/>
            <w:tcMar>
              <w:top w:w="100" w:type="dxa"/>
              <w:left w:w="100" w:type="dxa"/>
              <w:bottom w:w="100" w:type="dxa"/>
              <w:right w:w="100" w:type="dxa"/>
            </w:tcMar>
          </w:tcPr>
          <w:p w:rsidR="00415547" w:rsidRPr="00AF644F" w:rsidRDefault="00415547" w:rsidP="006C1396">
            <w:pPr>
              <w:widowControl w:val="0"/>
              <w:spacing w:line="240" w:lineRule="auto"/>
              <w:contextualSpacing w:val="0"/>
              <w:jc w:val="center"/>
              <w:rPr>
                <w:sz w:val="20"/>
                <w:szCs w:val="20"/>
                <w:u w:val="single"/>
                <w:lang w:val="es-CO"/>
              </w:rPr>
            </w:pPr>
            <w:r w:rsidRPr="00AF644F">
              <w:rPr>
                <w:sz w:val="20"/>
                <w:szCs w:val="20"/>
                <w:u w:val="single"/>
                <w:lang w:val="es-CO"/>
              </w:rPr>
              <w:t>Tipo de medida</w:t>
            </w:r>
          </w:p>
        </w:tc>
        <w:tc>
          <w:tcPr>
            <w:tcW w:w="1530" w:type="dxa"/>
            <w:shd w:val="clear" w:color="auto" w:fill="auto"/>
            <w:tcMar>
              <w:top w:w="100" w:type="dxa"/>
              <w:left w:w="100" w:type="dxa"/>
              <w:bottom w:w="100" w:type="dxa"/>
              <w:right w:w="100" w:type="dxa"/>
            </w:tcMar>
          </w:tcPr>
          <w:p w:rsidR="00415547" w:rsidRPr="00AF644F" w:rsidRDefault="00415547" w:rsidP="006C1396">
            <w:pPr>
              <w:widowControl w:val="0"/>
              <w:spacing w:line="240" w:lineRule="auto"/>
              <w:contextualSpacing w:val="0"/>
              <w:jc w:val="center"/>
              <w:rPr>
                <w:sz w:val="20"/>
                <w:szCs w:val="20"/>
                <w:u w:val="single"/>
                <w:lang w:val="es-CO"/>
              </w:rPr>
            </w:pPr>
            <w:r w:rsidRPr="00AF644F">
              <w:rPr>
                <w:sz w:val="20"/>
                <w:szCs w:val="20"/>
                <w:u w:val="single"/>
                <w:lang w:val="es-CO"/>
              </w:rPr>
              <w:t>Servicio asociado a la medida</w:t>
            </w:r>
          </w:p>
        </w:tc>
        <w:tc>
          <w:tcPr>
            <w:tcW w:w="1530" w:type="dxa"/>
            <w:shd w:val="clear" w:color="auto" w:fill="auto"/>
            <w:tcMar>
              <w:top w:w="100" w:type="dxa"/>
              <w:left w:w="100" w:type="dxa"/>
              <w:bottom w:w="100" w:type="dxa"/>
              <w:right w:w="100" w:type="dxa"/>
            </w:tcMar>
          </w:tcPr>
          <w:p w:rsidR="00415547" w:rsidRPr="00AF644F" w:rsidRDefault="00415547" w:rsidP="006C1396">
            <w:pPr>
              <w:widowControl w:val="0"/>
              <w:spacing w:line="240" w:lineRule="auto"/>
              <w:contextualSpacing w:val="0"/>
              <w:jc w:val="center"/>
              <w:rPr>
                <w:sz w:val="20"/>
                <w:szCs w:val="20"/>
                <w:u w:val="single"/>
                <w:lang w:val="es-CO"/>
              </w:rPr>
            </w:pPr>
            <w:r w:rsidRPr="00AF644F">
              <w:rPr>
                <w:sz w:val="20"/>
                <w:szCs w:val="20"/>
                <w:u w:val="single"/>
                <w:lang w:val="es-CO"/>
              </w:rPr>
              <w:t>Frecuencia de aplicación</w:t>
            </w:r>
          </w:p>
        </w:tc>
        <w:tc>
          <w:tcPr>
            <w:tcW w:w="4291" w:type="dxa"/>
            <w:shd w:val="clear" w:color="auto" w:fill="auto"/>
            <w:tcMar>
              <w:top w:w="100" w:type="dxa"/>
              <w:left w:w="100" w:type="dxa"/>
              <w:bottom w:w="100" w:type="dxa"/>
              <w:right w:w="100" w:type="dxa"/>
            </w:tcMar>
          </w:tcPr>
          <w:p w:rsidR="00415547" w:rsidRPr="00AF644F" w:rsidRDefault="00415547" w:rsidP="006C1396">
            <w:pPr>
              <w:widowControl w:val="0"/>
              <w:spacing w:line="240" w:lineRule="auto"/>
              <w:contextualSpacing w:val="0"/>
              <w:jc w:val="center"/>
              <w:rPr>
                <w:sz w:val="20"/>
                <w:szCs w:val="20"/>
                <w:u w:val="single"/>
                <w:lang w:val="es-CO"/>
              </w:rPr>
            </w:pPr>
            <w:r w:rsidRPr="00AF644F">
              <w:rPr>
                <w:sz w:val="20"/>
                <w:szCs w:val="20"/>
                <w:u w:val="single"/>
                <w:lang w:val="es-CO"/>
              </w:rPr>
              <w:t>Parámetro adicional informativo</w:t>
            </w:r>
          </w:p>
        </w:tc>
      </w:tr>
      <w:tr w:rsidR="00415547" w:rsidRPr="00B05E0B" w:rsidTr="006C1396">
        <w:tc>
          <w:tcPr>
            <w:tcW w:w="790" w:type="dxa"/>
            <w:shd w:val="clear" w:color="auto" w:fill="auto"/>
            <w:tcMar>
              <w:top w:w="100" w:type="dxa"/>
              <w:left w:w="100" w:type="dxa"/>
              <w:bottom w:w="100" w:type="dxa"/>
              <w:right w:w="100" w:type="dxa"/>
            </w:tcMar>
          </w:tcPr>
          <w:p w:rsidR="00415547" w:rsidRPr="00B05E0B" w:rsidRDefault="00415547" w:rsidP="006C1396">
            <w:pPr>
              <w:widowControl w:val="0"/>
              <w:spacing w:line="240" w:lineRule="auto"/>
              <w:contextualSpacing w:val="0"/>
              <w:rPr>
                <w:sz w:val="20"/>
                <w:szCs w:val="20"/>
                <w:lang w:val="es-CO"/>
              </w:rPr>
            </w:pPr>
            <w:r w:rsidRPr="00B05E0B">
              <w:rPr>
                <w:sz w:val="20"/>
                <w:szCs w:val="20"/>
                <w:lang w:val="es-CO"/>
              </w:rPr>
              <w:t>1.</w:t>
            </w:r>
            <w:r w:rsidRPr="00B05E0B">
              <w:rPr>
                <w:rFonts w:ascii="Times New Roman" w:hAnsi="Times New Roman"/>
                <w:sz w:val="20"/>
                <w:szCs w:val="20"/>
                <w:lang w:val="es-CO"/>
              </w:rPr>
              <w:t xml:space="preserve"> </w:t>
            </w:r>
          </w:p>
        </w:tc>
        <w:tc>
          <w:tcPr>
            <w:tcW w:w="1530" w:type="dxa"/>
            <w:shd w:val="clear" w:color="auto" w:fill="auto"/>
            <w:tcMar>
              <w:top w:w="100" w:type="dxa"/>
              <w:left w:w="100" w:type="dxa"/>
              <w:bottom w:w="100" w:type="dxa"/>
              <w:right w:w="100" w:type="dxa"/>
            </w:tcMar>
          </w:tcPr>
          <w:p w:rsidR="00415547" w:rsidRPr="00B05E0B" w:rsidRDefault="00415547" w:rsidP="006C1396">
            <w:pPr>
              <w:widowControl w:val="0"/>
              <w:spacing w:line="240" w:lineRule="auto"/>
              <w:contextualSpacing w:val="0"/>
              <w:rPr>
                <w:sz w:val="20"/>
                <w:szCs w:val="20"/>
                <w:lang w:val="es-CO"/>
              </w:rPr>
            </w:pPr>
            <w:r w:rsidRPr="00B05E0B">
              <w:rPr>
                <w:sz w:val="20"/>
                <w:szCs w:val="20"/>
                <w:lang w:val="es-CO"/>
              </w:rPr>
              <w:t>Gestión de Direcciones IP</w:t>
            </w:r>
            <w:r>
              <w:rPr>
                <w:sz w:val="20"/>
                <w:szCs w:val="20"/>
                <w:lang w:val="es-CO"/>
              </w:rPr>
              <w:t xml:space="preserve"> (IP</w:t>
            </w:r>
            <w:r w:rsidRPr="00B05E0B">
              <w:rPr>
                <w:sz w:val="20"/>
                <w:szCs w:val="20"/>
                <w:lang w:val="es-CO"/>
              </w:rPr>
              <w:t>v4)</w:t>
            </w:r>
          </w:p>
        </w:tc>
        <w:tc>
          <w:tcPr>
            <w:tcW w:w="1530" w:type="dxa"/>
            <w:shd w:val="clear" w:color="auto" w:fill="auto"/>
            <w:tcMar>
              <w:top w:w="100" w:type="dxa"/>
              <w:left w:w="100" w:type="dxa"/>
              <w:bottom w:w="100" w:type="dxa"/>
              <w:right w:w="100" w:type="dxa"/>
            </w:tcMar>
          </w:tcPr>
          <w:p w:rsidR="00415547" w:rsidRPr="00B05E0B" w:rsidRDefault="00415547" w:rsidP="006C1396">
            <w:pPr>
              <w:widowControl w:val="0"/>
              <w:spacing w:line="240" w:lineRule="auto"/>
              <w:contextualSpacing w:val="0"/>
              <w:rPr>
                <w:sz w:val="20"/>
                <w:szCs w:val="20"/>
                <w:lang w:val="es-CO"/>
              </w:rPr>
            </w:pPr>
            <w:r w:rsidRPr="00B05E0B">
              <w:rPr>
                <w:sz w:val="20"/>
                <w:szCs w:val="20"/>
                <w:lang w:val="es-CO"/>
              </w:rPr>
              <w:t>Acceso a Internet</w:t>
            </w:r>
          </w:p>
        </w:tc>
        <w:tc>
          <w:tcPr>
            <w:tcW w:w="1530" w:type="dxa"/>
            <w:shd w:val="clear" w:color="auto" w:fill="auto"/>
            <w:tcMar>
              <w:top w:w="100" w:type="dxa"/>
              <w:left w:w="100" w:type="dxa"/>
              <w:bottom w:w="100" w:type="dxa"/>
              <w:right w:w="100" w:type="dxa"/>
            </w:tcMar>
          </w:tcPr>
          <w:p w:rsidR="00415547" w:rsidRPr="00B05E0B" w:rsidRDefault="00415547" w:rsidP="006C1396">
            <w:pPr>
              <w:widowControl w:val="0"/>
              <w:spacing w:line="240" w:lineRule="auto"/>
              <w:contextualSpacing w:val="0"/>
              <w:rPr>
                <w:sz w:val="20"/>
                <w:szCs w:val="20"/>
                <w:lang w:val="es-CO"/>
              </w:rPr>
            </w:pPr>
            <w:r w:rsidRPr="00B05E0B">
              <w:rPr>
                <w:sz w:val="20"/>
                <w:szCs w:val="20"/>
                <w:lang w:val="es-CO"/>
              </w:rPr>
              <w:t>Permanente</w:t>
            </w:r>
          </w:p>
        </w:tc>
        <w:tc>
          <w:tcPr>
            <w:tcW w:w="4291" w:type="dxa"/>
            <w:shd w:val="clear" w:color="auto" w:fill="auto"/>
            <w:tcMar>
              <w:top w:w="100" w:type="dxa"/>
              <w:left w:w="100" w:type="dxa"/>
              <w:bottom w:w="100" w:type="dxa"/>
              <w:right w:w="100" w:type="dxa"/>
            </w:tcMar>
          </w:tcPr>
          <w:p w:rsidR="00415547" w:rsidRPr="00B05E0B" w:rsidRDefault="00415547" w:rsidP="006C1396">
            <w:pPr>
              <w:spacing w:line="252" w:lineRule="auto"/>
              <w:rPr>
                <w:sz w:val="20"/>
                <w:szCs w:val="20"/>
                <w:lang w:val="es-CO"/>
              </w:rPr>
            </w:pPr>
            <w:r w:rsidRPr="00B05E0B">
              <w:rPr>
                <w:sz w:val="20"/>
                <w:szCs w:val="20"/>
                <w:lang w:val="es-CO"/>
              </w:rPr>
              <w:t xml:space="preserve">El servicio de Hughes utiliza direcciones privadas </w:t>
            </w:r>
            <w:r>
              <w:rPr>
                <w:sz w:val="20"/>
                <w:szCs w:val="20"/>
                <w:lang w:val="es-CO"/>
              </w:rPr>
              <w:t>de IPv4 en el terminal del usuario, es necesario realizar la conversión de IP privada a IP pública a través del mecanismo de Traducción de Direcciones de Red – NAT para la conexión a Internet.</w:t>
            </w:r>
          </w:p>
        </w:tc>
      </w:tr>
      <w:tr w:rsidR="00415547" w:rsidRPr="00B05E0B" w:rsidTr="006C1396">
        <w:tc>
          <w:tcPr>
            <w:tcW w:w="790" w:type="dxa"/>
            <w:shd w:val="clear" w:color="auto" w:fill="auto"/>
            <w:tcMar>
              <w:top w:w="100" w:type="dxa"/>
              <w:left w:w="100" w:type="dxa"/>
              <w:bottom w:w="100" w:type="dxa"/>
              <w:right w:w="100" w:type="dxa"/>
            </w:tcMar>
          </w:tcPr>
          <w:p w:rsidR="00415547" w:rsidRPr="00B05E0B" w:rsidRDefault="00415547" w:rsidP="006C1396">
            <w:pPr>
              <w:widowControl w:val="0"/>
              <w:spacing w:line="240" w:lineRule="auto"/>
              <w:contextualSpacing w:val="0"/>
              <w:rPr>
                <w:sz w:val="20"/>
                <w:szCs w:val="20"/>
                <w:lang w:val="es-CO"/>
              </w:rPr>
            </w:pPr>
            <w:r w:rsidRPr="00B05E0B">
              <w:rPr>
                <w:sz w:val="20"/>
                <w:szCs w:val="20"/>
                <w:lang w:val="es-CO"/>
              </w:rPr>
              <w:t>2.</w:t>
            </w:r>
          </w:p>
        </w:tc>
        <w:tc>
          <w:tcPr>
            <w:tcW w:w="1530" w:type="dxa"/>
            <w:shd w:val="clear" w:color="auto" w:fill="auto"/>
            <w:tcMar>
              <w:top w:w="100" w:type="dxa"/>
              <w:left w:w="100" w:type="dxa"/>
              <w:bottom w:w="100" w:type="dxa"/>
              <w:right w:w="100" w:type="dxa"/>
            </w:tcMar>
          </w:tcPr>
          <w:p w:rsidR="00415547" w:rsidRPr="00B05E0B" w:rsidRDefault="00415547" w:rsidP="006C1396">
            <w:pPr>
              <w:widowControl w:val="0"/>
              <w:spacing w:line="240" w:lineRule="auto"/>
              <w:contextualSpacing w:val="0"/>
              <w:rPr>
                <w:sz w:val="20"/>
                <w:szCs w:val="20"/>
                <w:lang w:val="es-CO"/>
              </w:rPr>
            </w:pPr>
            <w:r>
              <w:rPr>
                <w:sz w:val="20"/>
                <w:szCs w:val="20"/>
                <w:lang w:val="es-CO"/>
              </w:rPr>
              <w:t>Gestión de Direcciones IP (IP</w:t>
            </w:r>
            <w:r w:rsidRPr="00B05E0B">
              <w:rPr>
                <w:sz w:val="20"/>
                <w:szCs w:val="20"/>
                <w:lang w:val="es-CO"/>
              </w:rPr>
              <w:t>v6)</w:t>
            </w:r>
          </w:p>
        </w:tc>
        <w:tc>
          <w:tcPr>
            <w:tcW w:w="1530" w:type="dxa"/>
            <w:shd w:val="clear" w:color="auto" w:fill="auto"/>
            <w:tcMar>
              <w:top w:w="100" w:type="dxa"/>
              <w:left w:w="100" w:type="dxa"/>
              <w:bottom w:w="100" w:type="dxa"/>
              <w:right w:w="100" w:type="dxa"/>
            </w:tcMar>
          </w:tcPr>
          <w:p w:rsidR="00415547" w:rsidRPr="00B05E0B" w:rsidRDefault="00415547" w:rsidP="006C1396">
            <w:pPr>
              <w:widowControl w:val="0"/>
              <w:spacing w:line="240" w:lineRule="auto"/>
              <w:contextualSpacing w:val="0"/>
              <w:rPr>
                <w:sz w:val="20"/>
                <w:szCs w:val="20"/>
                <w:lang w:val="es-CO"/>
              </w:rPr>
            </w:pPr>
            <w:r>
              <w:rPr>
                <w:sz w:val="20"/>
                <w:szCs w:val="20"/>
                <w:lang w:val="es-CO"/>
              </w:rPr>
              <w:t>Acceso a Internet</w:t>
            </w:r>
          </w:p>
        </w:tc>
        <w:tc>
          <w:tcPr>
            <w:tcW w:w="1530" w:type="dxa"/>
            <w:shd w:val="clear" w:color="auto" w:fill="auto"/>
            <w:tcMar>
              <w:top w:w="100" w:type="dxa"/>
              <w:left w:w="100" w:type="dxa"/>
              <w:bottom w:w="100" w:type="dxa"/>
              <w:right w:w="100" w:type="dxa"/>
            </w:tcMar>
          </w:tcPr>
          <w:p w:rsidR="00415547" w:rsidRPr="00B05E0B" w:rsidRDefault="00415547" w:rsidP="006C1396">
            <w:pPr>
              <w:widowControl w:val="0"/>
              <w:spacing w:line="240" w:lineRule="auto"/>
              <w:contextualSpacing w:val="0"/>
              <w:rPr>
                <w:sz w:val="20"/>
                <w:szCs w:val="20"/>
                <w:lang w:val="es-CO"/>
              </w:rPr>
            </w:pPr>
            <w:r w:rsidRPr="00B05E0B">
              <w:rPr>
                <w:sz w:val="20"/>
                <w:szCs w:val="20"/>
                <w:lang w:val="es-CO"/>
              </w:rPr>
              <w:t>Permanent</w:t>
            </w:r>
            <w:r>
              <w:rPr>
                <w:sz w:val="20"/>
                <w:szCs w:val="20"/>
                <w:lang w:val="es-CO"/>
              </w:rPr>
              <w:t>e</w:t>
            </w:r>
          </w:p>
        </w:tc>
        <w:tc>
          <w:tcPr>
            <w:tcW w:w="4291" w:type="dxa"/>
            <w:shd w:val="clear" w:color="auto" w:fill="auto"/>
            <w:tcMar>
              <w:top w:w="100" w:type="dxa"/>
              <w:left w:w="100" w:type="dxa"/>
              <w:bottom w:w="100" w:type="dxa"/>
              <w:right w:w="100" w:type="dxa"/>
            </w:tcMar>
          </w:tcPr>
          <w:p w:rsidR="00415547" w:rsidRPr="00B05E0B" w:rsidRDefault="00415547" w:rsidP="006C1396">
            <w:pPr>
              <w:widowControl w:val="0"/>
              <w:spacing w:line="240" w:lineRule="auto"/>
              <w:contextualSpacing w:val="0"/>
              <w:rPr>
                <w:sz w:val="20"/>
                <w:szCs w:val="20"/>
                <w:lang w:val="es-CO"/>
              </w:rPr>
            </w:pPr>
            <w:r>
              <w:rPr>
                <w:sz w:val="20"/>
                <w:szCs w:val="20"/>
                <w:lang w:val="es-CO"/>
              </w:rPr>
              <w:t>El servicio de Hughes utiliza las direcciones IPv6 asignadas a un terminal de usuario. Esta dirección es una dirección IPv6 públicamente enrutable y se asigna el terminal de usuario espec</w:t>
            </w:r>
            <w:r w:rsidRPr="00B05E0B">
              <w:rPr>
                <w:sz w:val="20"/>
                <w:szCs w:val="20"/>
                <w:lang w:val="es-CO"/>
              </w:rPr>
              <w:t>í</w:t>
            </w:r>
            <w:r>
              <w:rPr>
                <w:sz w:val="20"/>
                <w:szCs w:val="20"/>
                <w:lang w:val="es-CO"/>
              </w:rPr>
              <w:t>fico hasta que el terminal de usuario se vuelva completamente inactivo. Cuando un terminal de usuario vuelve a estar activo, se asigna una nueva dirección IPv6 al terminal.</w:t>
            </w:r>
          </w:p>
        </w:tc>
      </w:tr>
      <w:tr w:rsidR="00415547" w:rsidRPr="00B05E0B" w:rsidTr="006C1396">
        <w:tc>
          <w:tcPr>
            <w:tcW w:w="790" w:type="dxa"/>
            <w:shd w:val="clear" w:color="auto" w:fill="auto"/>
            <w:tcMar>
              <w:top w:w="100" w:type="dxa"/>
              <w:left w:w="100" w:type="dxa"/>
              <w:bottom w:w="100" w:type="dxa"/>
              <w:right w:w="100" w:type="dxa"/>
            </w:tcMar>
          </w:tcPr>
          <w:p w:rsidR="00415547" w:rsidRPr="00B05E0B" w:rsidRDefault="00415547" w:rsidP="006C1396">
            <w:pPr>
              <w:widowControl w:val="0"/>
              <w:spacing w:line="240" w:lineRule="auto"/>
              <w:contextualSpacing w:val="0"/>
              <w:rPr>
                <w:sz w:val="20"/>
                <w:szCs w:val="20"/>
                <w:lang w:val="es-CO"/>
              </w:rPr>
            </w:pPr>
            <w:r w:rsidRPr="00B05E0B">
              <w:rPr>
                <w:sz w:val="20"/>
                <w:szCs w:val="20"/>
                <w:lang w:val="es-CO"/>
              </w:rPr>
              <w:t>3.</w:t>
            </w:r>
          </w:p>
        </w:tc>
        <w:tc>
          <w:tcPr>
            <w:tcW w:w="1530" w:type="dxa"/>
            <w:shd w:val="clear" w:color="auto" w:fill="auto"/>
            <w:tcMar>
              <w:top w:w="100" w:type="dxa"/>
              <w:left w:w="100" w:type="dxa"/>
              <w:bottom w:w="100" w:type="dxa"/>
              <w:right w:w="100" w:type="dxa"/>
            </w:tcMar>
          </w:tcPr>
          <w:p w:rsidR="00415547" w:rsidRPr="00B05E0B" w:rsidRDefault="00415547" w:rsidP="006C1396">
            <w:pPr>
              <w:widowControl w:val="0"/>
              <w:spacing w:line="240" w:lineRule="auto"/>
              <w:contextualSpacing w:val="0"/>
              <w:rPr>
                <w:sz w:val="20"/>
                <w:szCs w:val="20"/>
                <w:lang w:val="es-CO"/>
              </w:rPr>
            </w:pPr>
            <w:proofErr w:type="spellStart"/>
            <w:r>
              <w:rPr>
                <w:sz w:val="20"/>
                <w:szCs w:val="20"/>
                <w:lang w:val="es-CO"/>
              </w:rPr>
              <w:t>Duracion</w:t>
            </w:r>
            <w:proofErr w:type="spellEnd"/>
            <w:r>
              <w:rPr>
                <w:sz w:val="20"/>
                <w:szCs w:val="20"/>
                <w:lang w:val="es-CO"/>
              </w:rPr>
              <w:t xml:space="preserve"> de la </w:t>
            </w:r>
            <w:proofErr w:type="spellStart"/>
            <w:r>
              <w:rPr>
                <w:sz w:val="20"/>
                <w:szCs w:val="20"/>
                <w:lang w:val="es-CO"/>
              </w:rPr>
              <w:t>Sesion</w:t>
            </w:r>
            <w:proofErr w:type="spellEnd"/>
            <w:r>
              <w:rPr>
                <w:sz w:val="20"/>
                <w:szCs w:val="20"/>
                <w:lang w:val="es-CO"/>
              </w:rPr>
              <w:t xml:space="preserve"> </w:t>
            </w:r>
            <w:proofErr w:type="spellStart"/>
            <w:r>
              <w:rPr>
                <w:sz w:val="20"/>
                <w:szCs w:val="20"/>
                <w:lang w:val="es-CO"/>
              </w:rPr>
              <w:t>Dinamica</w:t>
            </w:r>
            <w:proofErr w:type="spellEnd"/>
            <w:r>
              <w:rPr>
                <w:sz w:val="20"/>
                <w:szCs w:val="20"/>
                <w:lang w:val="es-CO"/>
              </w:rPr>
              <w:t xml:space="preserve"> en la Red </w:t>
            </w:r>
            <w:r w:rsidRPr="00B05E0B">
              <w:rPr>
                <w:sz w:val="20"/>
                <w:szCs w:val="20"/>
                <w:lang w:val="es-CO"/>
              </w:rPr>
              <w:t xml:space="preserve">(IPv4 </w:t>
            </w:r>
            <w:r>
              <w:rPr>
                <w:sz w:val="20"/>
                <w:szCs w:val="20"/>
                <w:lang w:val="es-CO"/>
              </w:rPr>
              <w:t xml:space="preserve">publico usado en </w:t>
            </w:r>
            <w:r w:rsidRPr="00B05E0B">
              <w:rPr>
                <w:sz w:val="20"/>
                <w:szCs w:val="20"/>
                <w:lang w:val="es-CO"/>
              </w:rPr>
              <w:t>NAT)</w:t>
            </w:r>
          </w:p>
        </w:tc>
        <w:tc>
          <w:tcPr>
            <w:tcW w:w="1530" w:type="dxa"/>
            <w:shd w:val="clear" w:color="auto" w:fill="auto"/>
            <w:tcMar>
              <w:top w:w="100" w:type="dxa"/>
              <w:left w:w="100" w:type="dxa"/>
              <w:bottom w:w="100" w:type="dxa"/>
              <w:right w:w="100" w:type="dxa"/>
            </w:tcMar>
          </w:tcPr>
          <w:p w:rsidR="00415547" w:rsidRPr="00B05E0B" w:rsidRDefault="00415547" w:rsidP="006C1396">
            <w:pPr>
              <w:widowControl w:val="0"/>
              <w:spacing w:line="240" w:lineRule="auto"/>
              <w:contextualSpacing w:val="0"/>
              <w:rPr>
                <w:sz w:val="20"/>
                <w:szCs w:val="20"/>
                <w:lang w:val="es-CO"/>
              </w:rPr>
            </w:pPr>
            <w:r>
              <w:rPr>
                <w:sz w:val="20"/>
                <w:szCs w:val="20"/>
                <w:lang w:val="es-CO"/>
              </w:rPr>
              <w:t>Acceso a Internet</w:t>
            </w:r>
          </w:p>
        </w:tc>
        <w:tc>
          <w:tcPr>
            <w:tcW w:w="1530" w:type="dxa"/>
            <w:shd w:val="clear" w:color="auto" w:fill="auto"/>
            <w:tcMar>
              <w:top w:w="100" w:type="dxa"/>
              <w:left w:w="100" w:type="dxa"/>
              <w:bottom w:w="100" w:type="dxa"/>
              <w:right w:w="100" w:type="dxa"/>
            </w:tcMar>
          </w:tcPr>
          <w:p w:rsidR="00415547" w:rsidRPr="00B05E0B" w:rsidRDefault="00415547" w:rsidP="006C1396">
            <w:pPr>
              <w:widowControl w:val="0"/>
              <w:spacing w:line="240" w:lineRule="auto"/>
              <w:contextualSpacing w:val="0"/>
              <w:rPr>
                <w:sz w:val="20"/>
                <w:szCs w:val="20"/>
                <w:lang w:val="es-CO"/>
              </w:rPr>
            </w:pPr>
            <w:r w:rsidRPr="00B05E0B">
              <w:rPr>
                <w:sz w:val="20"/>
                <w:szCs w:val="20"/>
                <w:lang w:val="es-CO"/>
              </w:rPr>
              <w:t>Permanent</w:t>
            </w:r>
            <w:r>
              <w:rPr>
                <w:sz w:val="20"/>
                <w:szCs w:val="20"/>
                <w:lang w:val="es-CO"/>
              </w:rPr>
              <w:t>e</w:t>
            </w:r>
          </w:p>
        </w:tc>
        <w:tc>
          <w:tcPr>
            <w:tcW w:w="4291" w:type="dxa"/>
            <w:shd w:val="clear" w:color="auto" w:fill="auto"/>
            <w:tcMar>
              <w:top w:w="100" w:type="dxa"/>
              <w:left w:w="100" w:type="dxa"/>
              <w:bottom w:w="100" w:type="dxa"/>
              <w:right w:w="100" w:type="dxa"/>
            </w:tcMar>
          </w:tcPr>
          <w:p w:rsidR="00415547" w:rsidRDefault="00415547" w:rsidP="006C1396">
            <w:pPr>
              <w:widowControl w:val="0"/>
              <w:spacing w:line="240" w:lineRule="auto"/>
              <w:contextualSpacing w:val="0"/>
              <w:rPr>
                <w:sz w:val="20"/>
                <w:szCs w:val="20"/>
                <w:lang w:val="es-CO"/>
              </w:rPr>
            </w:pPr>
            <w:r>
              <w:rPr>
                <w:sz w:val="20"/>
                <w:szCs w:val="20"/>
                <w:lang w:val="es-CO"/>
              </w:rPr>
              <w:t xml:space="preserve">Con el fin de utilizar mejor los recursos públicos de direcciones IPv4 en toda la red; una dirección que se utiliza en el sistema de traducción de direcciones de red para un usuario no está asignada a un usuario después de 30 segundos de inactividad. Cuando un terminal de usuario vuelve a estar activo, se asigna una nueva dirección IPv4 al terminal. </w:t>
            </w:r>
          </w:p>
          <w:p w:rsidR="00415547" w:rsidRPr="00B05E0B" w:rsidRDefault="00415547" w:rsidP="006C1396">
            <w:pPr>
              <w:widowControl w:val="0"/>
              <w:spacing w:line="240" w:lineRule="auto"/>
              <w:contextualSpacing w:val="0"/>
              <w:rPr>
                <w:sz w:val="20"/>
                <w:szCs w:val="20"/>
                <w:lang w:val="es-CO"/>
              </w:rPr>
            </w:pPr>
          </w:p>
        </w:tc>
      </w:tr>
      <w:tr w:rsidR="00415547" w:rsidRPr="00B05E0B" w:rsidTr="006C1396">
        <w:tc>
          <w:tcPr>
            <w:tcW w:w="790" w:type="dxa"/>
            <w:shd w:val="clear" w:color="auto" w:fill="auto"/>
            <w:tcMar>
              <w:top w:w="100" w:type="dxa"/>
              <w:left w:w="100" w:type="dxa"/>
              <w:bottom w:w="100" w:type="dxa"/>
              <w:right w:w="100" w:type="dxa"/>
            </w:tcMar>
          </w:tcPr>
          <w:p w:rsidR="00415547" w:rsidRPr="00B05E0B" w:rsidRDefault="00415547" w:rsidP="006C1396">
            <w:pPr>
              <w:widowControl w:val="0"/>
              <w:spacing w:line="240" w:lineRule="auto"/>
              <w:contextualSpacing w:val="0"/>
              <w:rPr>
                <w:sz w:val="20"/>
                <w:szCs w:val="20"/>
                <w:lang w:val="es-CO"/>
              </w:rPr>
            </w:pPr>
            <w:r w:rsidRPr="00B05E0B">
              <w:rPr>
                <w:sz w:val="20"/>
                <w:szCs w:val="20"/>
                <w:lang w:val="es-CO"/>
              </w:rPr>
              <w:t>4.</w:t>
            </w:r>
          </w:p>
        </w:tc>
        <w:tc>
          <w:tcPr>
            <w:tcW w:w="1530" w:type="dxa"/>
            <w:shd w:val="clear" w:color="auto" w:fill="auto"/>
            <w:tcMar>
              <w:top w:w="100" w:type="dxa"/>
              <w:left w:w="100" w:type="dxa"/>
              <w:bottom w:w="100" w:type="dxa"/>
              <w:right w:w="100" w:type="dxa"/>
            </w:tcMar>
          </w:tcPr>
          <w:p w:rsidR="00415547" w:rsidRPr="00B05E0B" w:rsidRDefault="00415547" w:rsidP="006C1396">
            <w:pPr>
              <w:widowControl w:val="0"/>
              <w:spacing w:line="240" w:lineRule="auto"/>
              <w:contextualSpacing w:val="0"/>
              <w:rPr>
                <w:sz w:val="20"/>
                <w:szCs w:val="20"/>
                <w:lang w:val="es-CO"/>
              </w:rPr>
            </w:pPr>
            <w:r>
              <w:rPr>
                <w:sz w:val="20"/>
                <w:szCs w:val="20"/>
                <w:lang w:val="es-CO"/>
              </w:rPr>
              <w:t>Filtro y/o Bloqueo de Servicios y/o Aplicaciones en cumplimiento de obligaciones contractuales con el Estado o con motivo de una norma espec</w:t>
            </w:r>
            <w:r w:rsidRPr="00B05E0B">
              <w:rPr>
                <w:sz w:val="20"/>
                <w:szCs w:val="20"/>
                <w:lang w:val="es-CO"/>
              </w:rPr>
              <w:t>í</w:t>
            </w:r>
            <w:r>
              <w:rPr>
                <w:sz w:val="20"/>
                <w:szCs w:val="20"/>
                <w:lang w:val="es-CO"/>
              </w:rPr>
              <w:t xml:space="preserve">fica </w:t>
            </w:r>
          </w:p>
        </w:tc>
        <w:tc>
          <w:tcPr>
            <w:tcW w:w="1530" w:type="dxa"/>
            <w:shd w:val="clear" w:color="auto" w:fill="auto"/>
            <w:tcMar>
              <w:top w:w="100" w:type="dxa"/>
              <w:left w:w="100" w:type="dxa"/>
              <w:bottom w:w="100" w:type="dxa"/>
              <w:right w:w="100" w:type="dxa"/>
            </w:tcMar>
          </w:tcPr>
          <w:p w:rsidR="00415547" w:rsidRPr="00B05E0B" w:rsidRDefault="00415547" w:rsidP="006C1396">
            <w:pPr>
              <w:widowControl w:val="0"/>
              <w:spacing w:line="240" w:lineRule="auto"/>
              <w:contextualSpacing w:val="0"/>
              <w:rPr>
                <w:sz w:val="20"/>
                <w:szCs w:val="20"/>
                <w:lang w:val="es-CO"/>
              </w:rPr>
            </w:pPr>
            <w:r>
              <w:rPr>
                <w:sz w:val="20"/>
                <w:szCs w:val="20"/>
                <w:lang w:val="es-CO"/>
              </w:rPr>
              <w:t>Acceso a Internet</w:t>
            </w:r>
          </w:p>
        </w:tc>
        <w:tc>
          <w:tcPr>
            <w:tcW w:w="1530" w:type="dxa"/>
            <w:shd w:val="clear" w:color="auto" w:fill="auto"/>
            <w:tcMar>
              <w:top w:w="100" w:type="dxa"/>
              <w:left w:w="100" w:type="dxa"/>
              <w:bottom w:w="100" w:type="dxa"/>
              <w:right w:w="100" w:type="dxa"/>
            </w:tcMar>
          </w:tcPr>
          <w:p w:rsidR="00415547" w:rsidRPr="00B05E0B" w:rsidRDefault="00415547" w:rsidP="006C1396">
            <w:pPr>
              <w:widowControl w:val="0"/>
              <w:spacing w:line="240" w:lineRule="auto"/>
              <w:contextualSpacing w:val="0"/>
              <w:rPr>
                <w:sz w:val="20"/>
                <w:szCs w:val="20"/>
                <w:lang w:val="es-CO"/>
              </w:rPr>
            </w:pPr>
            <w:r w:rsidRPr="00B05E0B">
              <w:rPr>
                <w:sz w:val="20"/>
                <w:szCs w:val="20"/>
                <w:lang w:val="es-CO"/>
              </w:rPr>
              <w:t>Permanent</w:t>
            </w:r>
            <w:r>
              <w:rPr>
                <w:sz w:val="20"/>
                <w:szCs w:val="20"/>
                <w:lang w:val="es-CO"/>
              </w:rPr>
              <w:t>e</w:t>
            </w:r>
          </w:p>
        </w:tc>
        <w:tc>
          <w:tcPr>
            <w:tcW w:w="4291" w:type="dxa"/>
            <w:shd w:val="clear" w:color="auto" w:fill="auto"/>
            <w:tcMar>
              <w:top w:w="100" w:type="dxa"/>
              <w:left w:w="100" w:type="dxa"/>
              <w:bottom w:w="100" w:type="dxa"/>
              <w:right w:w="100" w:type="dxa"/>
            </w:tcMar>
          </w:tcPr>
          <w:p w:rsidR="00415547" w:rsidRDefault="00415547" w:rsidP="006C1396">
            <w:pPr>
              <w:widowControl w:val="0"/>
              <w:spacing w:line="240" w:lineRule="auto"/>
              <w:contextualSpacing w:val="0"/>
              <w:rPr>
                <w:sz w:val="20"/>
                <w:szCs w:val="20"/>
                <w:lang w:val="es-CO"/>
              </w:rPr>
            </w:pPr>
            <w:r>
              <w:rPr>
                <w:sz w:val="20"/>
                <w:szCs w:val="20"/>
                <w:lang w:val="es-CO"/>
              </w:rPr>
              <w:t>En cumplimiento de las obligaciones contractuales asumidas con el Estado o país espec</w:t>
            </w:r>
            <w:r w:rsidRPr="00B05E0B">
              <w:rPr>
                <w:sz w:val="20"/>
                <w:szCs w:val="20"/>
                <w:lang w:val="es-CO"/>
              </w:rPr>
              <w:t>í</w:t>
            </w:r>
            <w:r>
              <w:rPr>
                <w:sz w:val="20"/>
                <w:szCs w:val="20"/>
                <w:lang w:val="es-CO"/>
              </w:rPr>
              <w:t>fico de entrega del servicio, habrá una lista fija de contenido de Internet bloqueada para el acceso del usuario final. Esta lista se puede cambiar según las regulaciones expresadas por el país espec</w:t>
            </w:r>
            <w:r w:rsidRPr="00B05E0B">
              <w:rPr>
                <w:sz w:val="20"/>
                <w:szCs w:val="20"/>
                <w:lang w:val="es-CO"/>
              </w:rPr>
              <w:t>í</w:t>
            </w:r>
            <w:r>
              <w:rPr>
                <w:sz w:val="20"/>
                <w:szCs w:val="20"/>
                <w:lang w:val="es-CO"/>
              </w:rPr>
              <w:t xml:space="preserve">fico de entrega del servicio. </w:t>
            </w:r>
          </w:p>
          <w:p w:rsidR="00415547" w:rsidRPr="00B05E0B" w:rsidRDefault="00415547" w:rsidP="006C1396">
            <w:pPr>
              <w:widowControl w:val="0"/>
              <w:spacing w:line="240" w:lineRule="auto"/>
              <w:contextualSpacing w:val="0"/>
              <w:rPr>
                <w:sz w:val="20"/>
                <w:szCs w:val="20"/>
                <w:lang w:val="es-CO"/>
              </w:rPr>
            </w:pPr>
          </w:p>
        </w:tc>
      </w:tr>
    </w:tbl>
    <w:p w:rsidR="00415547" w:rsidRPr="006E6678" w:rsidRDefault="00415547" w:rsidP="00415547">
      <w:pPr>
        <w:jc w:val="center"/>
        <w:rPr>
          <w:b/>
          <w:sz w:val="20"/>
          <w:szCs w:val="20"/>
          <w:u w:val="single"/>
          <w:lang w:val="es-PE"/>
        </w:rPr>
      </w:pPr>
      <w:r w:rsidRPr="006E6678">
        <w:rPr>
          <w:b/>
          <w:sz w:val="20"/>
          <w:szCs w:val="20"/>
          <w:u w:val="single"/>
        </w:rPr>
        <w:t>INFORMACIÓN DE MEDIDAS AUTORIZADAS RELATIVAS A LA NEUTRALIDAD DE RED IMPLEMENTADAS</w:t>
      </w:r>
    </w:p>
    <w:p w:rsidR="00415547" w:rsidRDefault="00415547" w:rsidP="00415547">
      <w:pPr>
        <w:rPr>
          <w:lang w:val="es-PE"/>
        </w:rPr>
      </w:pPr>
    </w:p>
    <w:p w:rsidR="00415547" w:rsidRDefault="00415547" w:rsidP="00415547">
      <w:pPr>
        <w:rPr>
          <w:sz w:val="20"/>
          <w:szCs w:val="20"/>
          <w:lang w:val="es-PE"/>
        </w:rPr>
      </w:pPr>
    </w:p>
    <w:p w:rsidR="00415547" w:rsidRDefault="00415547" w:rsidP="00415547">
      <w:pPr>
        <w:rPr>
          <w:sz w:val="20"/>
          <w:szCs w:val="20"/>
          <w:lang w:val="es-PE"/>
        </w:rPr>
      </w:pPr>
      <w:r w:rsidRPr="00AF644F">
        <w:rPr>
          <w:sz w:val="20"/>
          <w:szCs w:val="20"/>
          <w:lang w:val="es-PE"/>
        </w:rPr>
        <w:t>Reglamento de Neutralidad de Red publicado por OSIPTEL:</w:t>
      </w:r>
      <w:r>
        <w:rPr>
          <w:sz w:val="20"/>
          <w:szCs w:val="20"/>
          <w:lang w:val="es-PE"/>
        </w:rPr>
        <w:t xml:space="preserve"> </w:t>
      </w:r>
    </w:p>
    <w:p w:rsidR="00415547" w:rsidRDefault="00415547" w:rsidP="00415547">
      <w:pPr>
        <w:rPr>
          <w:color w:val="0070C0"/>
          <w:sz w:val="20"/>
          <w:szCs w:val="20"/>
          <w:u w:val="single"/>
          <w:lang w:val="es-PE"/>
        </w:rPr>
      </w:pPr>
      <w:hyperlink r:id="rId4" w:history="1">
        <w:r w:rsidRPr="009E06DD">
          <w:rPr>
            <w:rStyle w:val="Hipervnculo"/>
            <w:sz w:val="20"/>
            <w:szCs w:val="20"/>
            <w:lang w:val="es-PE"/>
          </w:rPr>
          <w:t>https://www.osiptel.gob.pe/repositorioaps/data/1/1/1/PAR/res165-2016-cd/Res165-2016-CD_Reglamento-anexos.pdf</w:t>
        </w:r>
      </w:hyperlink>
    </w:p>
    <w:p w:rsidR="00354430" w:rsidRPr="00415547" w:rsidRDefault="00354430">
      <w:pPr>
        <w:rPr>
          <w:lang w:val="es-PE"/>
        </w:rPr>
      </w:pPr>
      <w:bookmarkStart w:id="0" w:name="_GoBack"/>
      <w:bookmarkEnd w:id="0"/>
    </w:p>
    <w:sectPr w:rsidR="00354430" w:rsidRPr="004155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47"/>
    <w:rsid w:val="00354430"/>
    <w:rsid w:val="00415547"/>
    <w:rsid w:val="005A43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1D71A-2495-42BC-B9B8-9313EC44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15547"/>
    <w:pPr>
      <w:spacing w:line="276" w:lineRule="auto"/>
      <w:contextualSpacing/>
    </w:pPr>
    <w:rPr>
      <w:rFonts w:ascii="Arial" w:eastAsia="Arial" w:hAnsi="Arial" w:cs="Arial"/>
      <w:lang w:val="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155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siptel.gob.pe/repositorioaps/data/1/1/1/PAR/res165-2016-cd/Res165-2016-CD_Reglamento-anex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1852</Characters>
  <Application>Microsoft Office Word</Application>
  <DocSecurity>0</DocSecurity>
  <Lines>132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1</cp:revision>
  <dcterms:created xsi:type="dcterms:W3CDTF">2018-11-16T21:03:00Z</dcterms:created>
  <dcterms:modified xsi:type="dcterms:W3CDTF">2018-11-16T21:03:00Z</dcterms:modified>
</cp:coreProperties>
</file>